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line="560" w:lineRule="exact"/>
        <w:jc w:val="left"/>
        <w:rPr>
          <w:rFonts w:ascii="方正小标宋简体" w:hAnsi="方正小标宋简体" w:eastAsia="方正小标宋简体" w:cs="方正小标宋简体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SRM系统操作手册</w:t>
      </w:r>
    </w:p>
    <w:p>
      <w:pPr>
        <w:pStyle w:val="6"/>
        <w:numPr>
          <w:ilvl w:val="0"/>
          <w:numId w:val="0"/>
        </w:numPr>
        <w:jc w:val="center"/>
        <w:outlineLvl w:val="0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t>一、供应商入库</w:t>
      </w:r>
    </w:p>
    <w:p>
      <w:pPr>
        <w:pStyle w:val="3"/>
        <w:numPr>
          <w:ilvl w:val="0"/>
          <w:numId w:val="0"/>
        </w:numPr>
        <w:rPr>
          <w:rFonts w:ascii="楷体" w:hAnsi="楷体" w:eastAsia="楷体" w:cs="楷体"/>
        </w:rPr>
      </w:pPr>
      <w:bookmarkStart w:id="0" w:name="_Toc482193068"/>
      <w:bookmarkStart w:id="1" w:name="_Toc482192848"/>
      <w:bookmarkStart w:id="2" w:name="_Toc482173778"/>
      <w:bookmarkStart w:id="3" w:name="_Toc482191433"/>
      <w:bookmarkStart w:id="4" w:name="_Toc482123105"/>
      <w:bookmarkStart w:id="5" w:name="_Toc482185750"/>
      <w:bookmarkStart w:id="6" w:name="_Toc34656465"/>
      <w:r>
        <w:rPr>
          <w:rFonts w:hint="eastAsia" w:ascii="楷体" w:hAnsi="楷体" w:eastAsia="楷体" w:cs="楷体"/>
        </w:rPr>
        <w:t>（一）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hint="eastAsia" w:ascii="楷体" w:hAnsi="楷体" w:eastAsia="楷体" w:cs="楷体"/>
        </w:rPr>
        <w:t>供应商注册</w:t>
      </w:r>
    </w:p>
    <w:p>
      <w:pPr>
        <w:pStyle w:val="5"/>
        <w:ind w:left="0" w:right="720"/>
      </w:pPr>
      <w:r>
        <w:rPr>
          <w:rFonts w:hint="eastAsia" w:ascii="仿宋" w:hAnsi="仿宋" w:eastAsia="仿宋" w:cs="仿宋"/>
          <w:b/>
          <w:bCs/>
          <w:lang w:val="es-ES" w:eastAsia="zh-CN"/>
        </w:rPr>
        <w:t>打开系统门户（</w:t>
      </w:r>
      <w:r>
        <w:fldChar w:fldCharType="begin"/>
      </w:r>
      <w:r>
        <w:instrText xml:space="preserve"> HYPERLINK "https://wlnx.going-link.com/"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b/>
          <w:bCs/>
          <w:color w:val="auto"/>
        </w:rPr>
        <w:t>https://wlnx.going-link.com/</w:t>
      </w:r>
      <w:r>
        <w:rPr>
          <w:rStyle w:val="9"/>
          <w:rFonts w:hint="eastAsia" w:ascii="仿宋" w:hAnsi="仿宋" w:eastAsia="仿宋" w:cs="仿宋"/>
          <w:b/>
          <w:bCs/>
          <w:color w:val="auto"/>
        </w:rPr>
        <w:fldChar w:fldCharType="end"/>
      </w:r>
      <w:r>
        <w:rPr>
          <w:rFonts w:hint="eastAsia" w:ascii="仿宋" w:hAnsi="仿宋" w:eastAsia="仿宋" w:cs="仿宋"/>
          <w:b/>
          <w:bCs/>
          <w:lang w:val="es-ES" w:eastAsia="zh-CN"/>
        </w:rPr>
        <w:t>），点击</w:t>
      </w:r>
      <w:r>
        <w:rPr>
          <w:rFonts w:hint="eastAsia" w:ascii="仿宋" w:hAnsi="仿宋" w:eastAsia="仿宋" w:cs="仿宋"/>
          <w:b/>
          <w:bCs/>
          <w:lang w:eastAsia="zh-CN"/>
        </w:rPr>
        <w:t>供应商</w:t>
      </w:r>
      <w:r>
        <w:rPr>
          <w:rFonts w:hint="eastAsia" w:ascii="仿宋" w:hAnsi="仿宋" w:eastAsia="仿宋" w:cs="仿宋"/>
          <w:b/>
          <w:bCs/>
          <w:lang w:val="es-ES" w:eastAsia="zh-CN"/>
        </w:rPr>
        <w:t>注册，</w:t>
      </w:r>
      <w:r>
        <w:rPr>
          <w:rFonts w:hint="eastAsia" w:ascii="仿宋" w:hAnsi="仿宋" w:eastAsia="仿宋" w:cs="仿宋"/>
          <w:b/>
          <w:bCs/>
          <w:lang w:eastAsia="zh-CN"/>
        </w:rPr>
        <w:t>进行企业注册。</w:t>
      </w:r>
      <w:r>
        <w:rPr>
          <w:lang w:eastAsia="zh-CN"/>
        </w:rPr>
        <w:drawing>
          <wp:inline distT="0" distB="0" distL="114300" distR="114300">
            <wp:extent cx="5266690" cy="265557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right="720"/>
      </w:pPr>
      <w:r>
        <w:rPr>
          <w:rFonts w:hint="eastAsia" w:ascii="仿宋" w:hAnsi="仿宋" w:eastAsia="仿宋" w:cs="仿宋"/>
          <w:b/>
          <w:bCs/>
          <w:lang w:eastAsia="zh-CN"/>
        </w:rPr>
        <w:t>填写以下字段的正确信息，</w:t>
      </w:r>
      <w:r>
        <w:rPr>
          <w:rFonts w:hint="eastAsia" w:ascii="仿宋" w:hAnsi="仿宋" w:eastAsia="仿宋" w:cs="仿宋"/>
          <w:b/>
          <w:bCs/>
          <w:highlight w:val="yellow"/>
          <w:lang w:eastAsia="zh-CN"/>
        </w:rPr>
        <w:t>带*为必填，勾选用户协议，</w:t>
      </w:r>
      <w:r>
        <w:rPr>
          <w:rFonts w:hint="eastAsia" w:ascii="仿宋" w:hAnsi="仿宋" w:eastAsia="仿宋" w:cs="仿宋"/>
          <w:b/>
          <w:bCs/>
          <w:lang w:eastAsia="zh-CN"/>
        </w:rPr>
        <w:t>输入短信验证码，点击注册。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eastAsia="zh-CN"/>
        </w:rPr>
        <w:t>此步只是注册完成，一定要进行企业认证。</w:t>
      </w:r>
      <w:r>
        <w:rPr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-136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（二）企业认证</w:t>
      </w:r>
    </w:p>
    <w:p>
      <w:pPr>
        <w:pStyle w:val="5"/>
        <w:ind w:left="0" w:right="720"/>
        <w:rPr>
          <w:rFonts w:ascii="仿宋" w:hAnsi="仿宋" w:eastAsia="仿宋" w:cs="仿宋"/>
          <w:b/>
          <w:bCs/>
          <w:lang w:eastAsia="zh-CN"/>
        </w:rPr>
      </w:pPr>
      <w:r>
        <w:rPr>
          <w:rFonts w:hint="eastAsia" w:ascii="仿宋" w:hAnsi="仿宋" w:eastAsia="仿宋" w:cs="仿宋"/>
          <w:b/>
          <w:bCs/>
          <w:lang w:eastAsia="zh-CN"/>
        </w:rPr>
        <w:t>进入企业认证-企业认证-企业认证，选择是境内企业或者境外企业</w:t>
      </w:r>
    </w:p>
    <w:p>
      <w:pPr>
        <w:pStyle w:val="5"/>
        <w:ind w:left="0" w:right="720"/>
        <w:rPr>
          <w:rFonts w:ascii="微软雅黑" w:hAnsi="微软雅黑" w:eastAsia="微软雅黑"/>
          <w:lang w:eastAsia="zh-CN"/>
        </w:rPr>
      </w:pPr>
      <w:r>
        <w:rPr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right="720"/>
      </w:pPr>
      <w:r>
        <w:rPr>
          <w:lang w:eastAsia="zh-CN"/>
        </w:rPr>
        <w:drawing>
          <wp:inline distT="0" distB="0" distL="114300" distR="114300">
            <wp:extent cx="5184140" cy="195389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right="720"/>
        <w:rPr>
          <w:rFonts w:ascii="仿宋" w:hAnsi="仿宋" w:eastAsia="仿宋" w:cs="仿宋"/>
          <w:b/>
          <w:bCs/>
          <w:lang w:eastAsia="zh-CN"/>
        </w:rPr>
      </w:pPr>
      <w:r>
        <w:rPr>
          <w:rFonts w:hint="eastAsia" w:ascii="仿宋" w:hAnsi="仿宋" w:eastAsia="仿宋" w:cs="仿宋"/>
          <w:b/>
          <w:bCs/>
          <w:lang w:eastAsia="zh-CN"/>
        </w:rPr>
        <w:t>随即上传营业执照,，可选择自动识别或手工录入</w:t>
      </w:r>
    </w:p>
    <w:p>
      <w:pPr>
        <w:spacing w:before="120"/>
      </w:pPr>
      <w:r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第一步，需填写基础登记信息，若填写信息错误系统会提示红色框，白色底则为正确值，</w:t>
      </w:r>
      <w:r>
        <w:rPr>
          <w:rFonts w:hint="eastAsia" w:ascii="仿宋" w:hAnsi="仿宋" w:eastAsia="仿宋" w:cs="仿宋"/>
          <w:b/>
          <w:bCs/>
          <w:highlight w:val="yellow"/>
        </w:rPr>
        <w:t>带*号则为必填项</w:t>
      </w:r>
      <w:r>
        <w:rPr>
          <w:rFonts w:hint="eastAsia" w:ascii="仿宋" w:hAnsi="仿宋" w:eastAsia="仿宋" w:cs="仿宋"/>
          <w:b/>
          <w:bCs/>
        </w:rPr>
        <w:t>，填写完毕后点击【保存】，进入下一步</w:t>
      </w:r>
    </w:p>
    <w:p>
      <w:pPr>
        <w:spacing w:before="120"/>
      </w:pPr>
      <w:r>
        <w:drawing>
          <wp:inline distT="0" distB="0" distL="114300" distR="114300">
            <wp:extent cx="5266690" cy="247459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第二步，填写次要信息，带*号为必填，填写完毕后，点击预览，无误后点击提交</w:t>
      </w:r>
    </w:p>
    <w:p>
      <w:pPr>
        <w:spacing w:before="120"/>
      </w:pPr>
      <w:r>
        <w:drawing>
          <wp:inline distT="0" distB="0" distL="114300" distR="114300">
            <wp:extent cx="4841240" cy="1747520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right="720"/>
        <w:rPr>
          <w:rFonts w:ascii="仿宋" w:hAnsi="仿宋" w:eastAsia="仿宋" w:cs="仿宋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lang w:eastAsia="zh-CN"/>
        </w:rPr>
        <w:t>第三步，提交完毕之后，</w:t>
      </w:r>
      <w:r>
        <w:rPr>
          <w:rFonts w:hint="eastAsia" w:ascii="仿宋" w:hAnsi="仿宋" w:eastAsia="仿宋" w:cs="仿宋"/>
          <w:b/>
          <w:bCs/>
          <w:lang w:val="es-ES" w:eastAsia="zh-CN"/>
        </w:rPr>
        <w:t>系统提示“</w:t>
      </w:r>
      <w:r>
        <w:rPr>
          <w:rFonts w:hint="eastAsia" w:ascii="仿宋" w:hAnsi="仿宋" w:eastAsia="仿宋" w:cs="仿宋"/>
          <w:b/>
          <w:bCs/>
          <w:lang w:val="es-ES"/>
        </w:rPr>
        <w:t>您已提交认证申请，请耐心等待审批</w:t>
      </w:r>
      <w:r>
        <w:rPr>
          <w:rFonts w:hint="eastAsia" w:ascii="仿宋" w:hAnsi="仿宋" w:eastAsia="仿宋" w:cs="仿宋"/>
          <w:b/>
          <w:bCs/>
          <w:lang w:val="es-ES" w:eastAsia="zh-CN"/>
        </w:rPr>
        <w:t>”，当前状态为“</w:t>
      </w:r>
      <w:r>
        <w:rPr>
          <w:rFonts w:hint="eastAsia" w:ascii="仿宋" w:hAnsi="仿宋" w:eastAsia="仿宋" w:cs="仿宋"/>
          <w:b/>
          <w:bCs/>
          <w:sz w:val="21"/>
          <w:szCs w:val="21"/>
          <w:lang w:val="es-ES"/>
        </w:rPr>
        <w:t>审批中</w:t>
      </w:r>
      <w:r>
        <w:rPr>
          <w:rFonts w:hint="eastAsia" w:ascii="仿宋" w:hAnsi="仿宋" w:eastAsia="仿宋" w:cs="仿宋"/>
          <w:b/>
          <w:bCs/>
          <w:lang w:val="es-ES" w:eastAsia="zh-CN"/>
        </w:rPr>
        <w:t>”，等待系统认证审核，</w:t>
      </w:r>
      <w:r>
        <w:rPr>
          <w:rFonts w:hint="eastAsia" w:ascii="仿宋" w:hAnsi="仿宋" w:eastAsia="仿宋" w:cs="仿宋"/>
          <w:b/>
          <w:bCs/>
          <w:sz w:val="21"/>
          <w:szCs w:val="21"/>
          <w:lang w:eastAsia="zh-CN"/>
        </w:rPr>
        <w:t>审核为实时审核，一般十分钟内可反馈审核结果（如资料填写错误，系统将自动退回，修改后重新提交）。平台审核通过后即可成为采购方的合作伙伴，随即可参加有效期内项目的报名。</w:t>
      </w:r>
    </w:p>
    <w:p>
      <w:pPr>
        <w:pStyle w:val="5"/>
        <w:ind w:left="0" w:right="720"/>
        <w:rPr>
          <w:rFonts w:ascii="微软雅黑" w:hAnsi="微软雅黑" w:eastAsia="仿宋"/>
          <w:b/>
          <w:bCs/>
          <w:sz w:val="21"/>
          <w:szCs w:val="21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highlight w:val="yellow"/>
          <w:lang w:eastAsia="zh-CN"/>
        </w:rPr>
        <w:t>特别注意：注册后请时刻关注审核进度，如未通过，请及时联系系统客服：400-116-0808或系统管理人员陈女士：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19808291027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eastAsia="zh-CN"/>
        </w:rPr>
        <w:t>。</w:t>
      </w:r>
    </w:p>
    <w:p>
      <w:r>
        <w:drawing>
          <wp:inline distT="0" distB="0" distL="114300" distR="114300">
            <wp:extent cx="5182235" cy="2254250"/>
            <wp:effectExtent l="0" t="0" r="1460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0"/>
          <w:numId w:val="0"/>
        </w:numPr>
        <w:jc w:val="center"/>
        <w:outlineLvl w:val="0"/>
        <w:rPr>
          <w:rFonts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t>二、供应商报名</w:t>
      </w:r>
    </w:p>
    <w:p>
      <w:pPr>
        <w:pStyle w:val="6"/>
        <w:numPr>
          <w:ilvl w:val="0"/>
          <w:numId w:val="0"/>
        </w:numPr>
        <w:outlineLvl w:val="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（一）切换租户</w:t>
      </w:r>
    </w:p>
    <w:p>
      <w:pPr>
        <w:pStyle w:val="6"/>
        <w:numPr>
          <w:ilvl w:val="0"/>
          <w:numId w:val="0"/>
        </w:numPr>
        <w:outlineLvl w:val="0"/>
        <w:rPr>
          <w:rStyle w:val="9"/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</w:rPr>
        <w:t>登陆地址：</w:t>
      </w:r>
      <w:r>
        <w:fldChar w:fldCharType="begin"/>
      </w:r>
      <w:r>
        <w:instrText xml:space="preserve"> HYPERLINK "https://wlnx.going-link.com/"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color w:val="auto"/>
        </w:rPr>
        <w:t>https://wlnx.going-link.com/</w:t>
      </w:r>
      <w:r>
        <w:rPr>
          <w:rStyle w:val="9"/>
          <w:rFonts w:hint="eastAsia" w:ascii="仿宋" w:hAnsi="仿宋" w:eastAsia="仿宋" w:cs="仿宋"/>
          <w:color w:val="auto"/>
        </w:rPr>
        <w:fldChar w:fldCharType="end"/>
      </w:r>
    </w:p>
    <w:p>
      <w:pPr>
        <w:pStyle w:val="6"/>
        <w:numPr>
          <w:ilvl w:val="0"/>
          <w:numId w:val="0"/>
        </w:numPr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登陆方式：账户+密码/手机号+验证码</w:t>
      </w:r>
    </w:p>
    <w:p>
      <w:pPr>
        <w:pStyle w:val="6"/>
        <w:numPr>
          <w:ilvl w:val="0"/>
          <w:numId w:val="0"/>
        </w:numPr>
        <w:outlineLvl w:val="0"/>
        <w:rPr>
          <w:rFonts w:ascii="仿宋" w:hAnsi="仿宋" w:eastAsia="仿宋" w:cs="仿宋"/>
          <w:highlight w:val="yellow"/>
        </w:rPr>
      </w:pPr>
      <w:r>
        <w:rPr>
          <w:rFonts w:hint="eastAsia" w:ascii="仿宋" w:hAnsi="仿宋" w:eastAsia="仿宋" w:cs="仿宋"/>
          <w:highlight w:val="yellow"/>
        </w:rPr>
        <w:t>进入SRM平台后，首先需保证租户是对应的客户公司：宜宾五粮浓香系列酒有限公司</w:t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（二）供应商报名</w:t>
      </w:r>
    </w:p>
    <w:p>
      <w:pPr>
        <w:pStyle w:val="6"/>
        <w:numPr>
          <w:ilvl w:val="0"/>
          <w:numId w:val="0"/>
        </w:numPr>
        <w:outlineLvl w:val="0"/>
        <w:rPr>
          <w:rFonts w:ascii="仿宋" w:hAnsi="仿宋" w:eastAsia="仿宋" w:cs="仿宋"/>
          <w:sz w:val="20"/>
          <w:highlight w:val="yellow"/>
        </w:rPr>
      </w:pPr>
      <w:r>
        <w:rPr>
          <w:rFonts w:hint="eastAsia" w:ascii="仿宋" w:hAnsi="仿宋" w:eastAsia="仿宋" w:cs="仿宋"/>
          <w:sz w:val="20"/>
          <w:highlight w:val="yellow"/>
        </w:rPr>
        <w:t>菜单途径：寻源-投标-投标工作台</w:t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172075" cy="2265045"/>
            <wp:effectExtent l="0" t="0" r="952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  <w:rPr>
          <w:rFonts w:ascii="仿宋" w:hAnsi="仿宋" w:eastAsia="仿宋" w:cs="仿宋"/>
          <w:sz w:val="20"/>
        </w:rPr>
      </w:pPr>
      <w:r>
        <w:rPr>
          <w:rFonts w:hint="eastAsia" w:ascii="仿宋" w:hAnsi="仿宋" w:eastAsia="仿宋" w:cs="仿宋"/>
          <w:sz w:val="20"/>
        </w:rPr>
        <w:t>投标工作台分为邀请我的和公开招标，未参与代表供应商还未点击【选择标段】，点击【查看】-【选择标段】，查看邀标函和标段信息</w:t>
      </w:r>
    </w:p>
    <w:p>
      <w:pPr>
        <w:pStyle w:val="6"/>
        <w:numPr>
          <w:ilvl w:val="0"/>
          <w:numId w:val="0"/>
        </w:numPr>
        <w:outlineLvl w:val="0"/>
        <w:rPr>
          <w:b w:val="0"/>
          <w:bCs/>
          <w:sz w:val="20"/>
        </w:rPr>
      </w:pPr>
      <w:r>
        <w:drawing>
          <wp:inline distT="0" distB="0" distL="114300" distR="114300">
            <wp:extent cx="5266690" cy="247459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  <w:rPr>
          <w:rFonts w:ascii="仿宋" w:hAnsi="仿宋" w:eastAsia="仿宋" w:cs="仿宋"/>
          <w:sz w:val="22"/>
          <w:szCs w:val="22"/>
          <w:highlight w:val="yellow"/>
        </w:rPr>
      </w:pPr>
      <w:r>
        <w:rPr>
          <w:rFonts w:hint="eastAsia" w:ascii="仿宋" w:hAnsi="仿宋" w:eastAsia="仿宋" w:cs="仿宋"/>
          <w:sz w:val="22"/>
          <w:szCs w:val="22"/>
          <w:highlight w:val="yellow"/>
        </w:rPr>
        <w:t>供应商进入报名界面后，根据实际情况选择参与标段，参与点击【是】，不参加则点击【否】，每个标段行点击完毕后方可点击【报名】按钮，如果有一行或多行未点击，则提交会报错，无法完成报名。特别注意：报名时，若某标段点击【否】之后，则不能修改或对该标段补充报名，请谨慎填写。</w:t>
      </w:r>
    </w:p>
    <w:p>
      <w:pPr>
        <w:pStyle w:val="6"/>
        <w:numPr>
          <w:ilvl w:val="0"/>
          <w:numId w:val="0"/>
        </w:numPr>
        <w:outlineLvl w:val="0"/>
        <w:rPr>
          <w:sz w:val="22"/>
          <w:szCs w:val="22"/>
          <w:highlight w:val="yellow"/>
        </w:rPr>
      </w:pPr>
      <w:r>
        <w:drawing>
          <wp:inline distT="0" distB="0" distL="114300" distR="114300">
            <wp:extent cx="5266690" cy="2474595"/>
            <wp:effectExtent l="0" t="0" r="635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635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  <w:rPr>
          <w:sz w:val="20"/>
          <w:highlight w:val="yellow"/>
        </w:rPr>
      </w:pPr>
      <w:r>
        <w:rPr>
          <w:rFonts w:hint="eastAsia"/>
          <w:sz w:val="20"/>
          <w:highlight w:val="yellow"/>
        </w:rPr>
        <w:t>报名后，若想放弃已报名的标段，可再次点击按钮，将【是】的按钮变为【否】即可。</w:t>
      </w:r>
    </w:p>
    <w:p>
      <w:pPr>
        <w:pStyle w:val="6"/>
        <w:numPr>
          <w:ilvl w:val="0"/>
          <w:numId w:val="0"/>
        </w:numPr>
        <w:outlineLvl w:val="0"/>
        <w:rPr>
          <w:b w:val="0"/>
          <w:bCs/>
          <w:sz w:val="20"/>
        </w:rPr>
      </w:pPr>
      <w:r>
        <w:drawing>
          <wp:inline distT="0" distB="0" distL="114300" distR="114300">
            <wp:extent cx="5266690" cy="2474595"/>
            <wp:effectExtent l="0" t="0" r="635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  <w:rPr>
          <w:sz w:val="20"/>
        </w:rPr>
      </w:pPr>
      <w:r>
        <w:rPr>
          <w:rFonts w:hint="eastAsia"/>
          <w:sz w:val="20"/>
        </w:rPr>
        <w:t>报名完成后退出报名界面，点击招标单据号则可查看和下载谈判文件。</w:t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63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635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shd w:val="clear" w:color="auto" w:fill="FFFFFF"/>
        <w:spacing w:line="560" w:lineRule="exact"/>
        <w:jc w:val="left"/>
        <w:rPr>
          <w:rFonts w:ascii="宋体" w:hAnsi="宋体" w:eastAsia="宋体"/>
          <w:sz w:val="28"/>
          <w:szCs w:val="28"/>
        </w:rPr>
      </w:pPr>
    </w:p>
    <w:p>
      <w:bookmarkStart w:id="7" w:name="_GoBack"/>
      <w:bookmarkEnd w:id="7"/>
    </w:p>
    <w:sectPr>
      <w:footerReference r:id="rId3" w:type="default"/>
      <w:footerReference r:id="rId4" w:type="even"/>
      <w:pgSz w:w="11906" w:h="16838"/>
      <w:pgMar w:top="2098" w:right="1474" w:bottom="1985" w:left="1588" w:header="851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52357"/>
      <w:docPartObj>
        <w:docPartGallery w:val="autotext"/>
      </w:docPartObj>
    </w:sdtPr>
    <w:sdtContent>
      <w:p>
        <w:pPr>
          <w:pStyle w:val="2"/>
          <w:wordWrap w:val="0"/>
          <w:jc w:val="right"/>
        </w:pPr>
        <w:r>
          <w:rPr>
            <w:rFonts w:hint="eastAsia" w:asciiTheme="minorEastAsia" w:hAnsiTheme="minorEastAsia"/>
            <w:sz w:val="28"/>
            <w:szCs w:val="28"/>
          </w:rPr>
          <w:t>-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6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>-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sdt>
      <w:sdtPr>
        <w:id w:val="2552373"/>
        <w:docPartObj>
          <w:docPartGallery w:val="autotext"/>
        </w:docPartObj>
      </w:sdtPr>
      <w:sdtEndPr>
        <w:rPr>
          <w:rFonts w:asciiTheme="minorEastAsia" w:hAnsiTheme="minorEastAsia"/>
          <w:sz w:val="28"/>
          <w:szCs w:val="28"/>
        </w:rPr>
      </w:sdtEndPr>
      <w:sdtContent>
        <w:r>
          <w:rPr>
            <w:rFonts w:hint="eastAsia" w:asciiTheme="minorEastAsia" w:hAnsiTheme="minorEastAsia"/>
            <w:sz w:val="28"/>
            <w:szCs w:val="28"/>
          </w:rPr>
          <w:t>-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sdtContent>
    </w:sdt>
    <w:r>
      <w:rPr>
        <w:rFonts w:hint="eastAsia" w:asciiTheme="minorEastAsia" w:hAnsiTheme="minorEastAsia"/>
        <w:sz w:val="28"/>
        <w:szCs w:val="28"/>
      </w:rPr>
      <w:t>-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F96865"/>
    <w:multiLevelType w:val="multilevel"/>
    <w:tmpl w:val="3FF9686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6F28AA"/>
    <w:multiLevelType w:val="multilevel"/>
    <w:tmpl w:val="566F28AA"/>
    <w:lvl w:ilvl="0" w:tentative="0">
      <w:start w:val="1"/>
      <w:numFmt w:val="chineseCountingThousand"/>
      <w:pStyle w:val="6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xZTI3NjJjZjEwY2ZkYjIzMmM5MzAzNWY2NTc5ZjEifQ=="/>
  </w:docVars>
  <w:rsids>
    <w:rsidRoot w:val="29851260"/>
    <w:rsid w:val="2985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4"/>
    <w:next w:val="5"/>
    <w:qFormat/>
    <w:uiPriority w:val="0"/>
    <w:pPr>
      <w:widowControl/>
      <w:numPr>
        <w:ilvl w:val="0"/>
        <w:numId w:val="1"/>
      </w:numPr>
      <w:spacing w:before="120" w:after="120" w:line="240" w:lineRule="auto"/>
      <w:ind w:right="720"/>
      <w:jc w:val="left"/>
      <w:outlineLvl w:val="1"/>
    </w:pPr>
    <w:rPr>
      <w:rFonts w:ascii="微软雅黑" w:hAnsi="微软雅黑" w:eastAsia="微软雅黑" w:cs="Times New Roman"/>
      <w:bCs w:val="0"/>
      <w:kern w:val="0"/>
      <w:sz w:val="24"/>
      <w:szCs w:val="20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ody Text"/>
    <w:basedOn w:val="1"/>
    <w:qFormat/>
    <w:uiPriority w:val="0"/>
    <w:pPr>
      <w:widowControl/>
      <w:spacing w:before="120" w:after="120"/>
      <w:ind w:left="2520"/>
      <w:jc w:val="left"/>
    </w:pPr>
    <w:rPr>
      <w:rFonts w:ascii="Book Antiqua" w:hAnsi="Book Antiqua" w:eastAsia="宋体" w:cs="Times New Roman"/>
      <w:kern w:val="0"/>
      <w:sz w:val="20"/>
      <w:szCs w:val="20"/>
      <w:lang w:eastAsia="es-ES"/>
    </w:rPr>
  </w:style>
  <w:style w:type="paragraph" w:styleId="6">
    <w:name w:val="Title"/>
    <w:basedOn w:val="3"/>
    <w:qFormat/>
    <w:uiPriority w:val="0"/>
    <w:pPr>
      <w:numPr>
        <w:numId w:val="2"/>
      </w:numPr>
    </w:pPr>
  </w:style>
  <w:style w:type="character" w:styleId="9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805</Words>
  <Characters>884</Characters>
  <Lines>0</Lines>
  <Paragraphs>0</Paragraphs>
  <TotalTime>0</TotalTime>
  <ScaleCrop>false</ScaleCrop>
  <LinksUpToDate>false</LinksUpToDate>
  <CharactersWithSpaces>884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2022-07-27T07:35:00Z</dcterms:created>
  <dc:creator>吴三尧</dc:creator>
  <cp:lastModifiedBy>吴三尧</cp:lastModifiedBy>
  <dcterms:modified xsi:type="dcterms:W3CDTF">2022-07-27T07:36:33Z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8777536A46D3495391BC2F157ED3A40F</vt:lpwstr>
  </property>
</Properties>
</file>